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bidi/>
        <w:spacing w:after="40"/>
        <w:jc w:val="right"/>
      </w:pPr>
      <w:r>
        <w:rPr>
          <w:rFonts w:ascii="Arial" w:cs="Arial" w:eastAsia="Arial" w:hAnsi="Arial"/>
          <w:b/>
          <w:bCs/>
          <w:sz w:val="40"/>
          <w:szCs w:val="40"/>
          <w:rtl/>
        </w:rPr>
        <w:t xml:space="preserve">עדי שפירא</w:t>
      </w:r>
    </w:p>
    <w:p>
      <w:pPr>
        <w:bidi/>
        <w:spacing w:after="40"/>
        <w:jc w:val="right"/>
      </w:pPr>
      <w:r>
        <w:rPr>
          <w:rFonts w:ascii="Arial" w:cs="Arial" w:eastAsia="Arial" w:hAnsi="Arial"/>
          <w:color w:val="6A17A3"/>
          <w:sz w:val="26"/>
          <w:szCs w:val="26"/>
          <w:rtl/>
        </w:rPr>
        <w:t xml:space="preserve">עורכת דין — ליטיגציה מסחרית</w:t>
      </w:r>
    </w:p>
    <w:p>
      <w:pPr>
        <w:bidi/>
        <w:spacing w:after="160"/>
        <w:jc w:val="right"/>
      </w:pPr>
      <w:r>
        <w:rPr>
          <w:rFonts w:ascii="Arial" w:cs="Arial" w:eastAsia="Arial" w:hAnsi="Arial"/>
          <w:color w:val="595959"/>
          <w:sz w:val="18"/>
          <w:szCs w:val="18"/>
          <w:rtl/>
        </w:rPr>
        <w:t xml:space="preserve">תל אביב  |  053-0000000  |  adi.shapira@email.com  |  linkedin.com/in/adi-shapira</w:t>
      </w:r>
    </w:p>
    <w:p>
      <w:pPr>
        <w:pBdr>
          <w:bottom w:val="single" w:color="D9D9D9" w:sz="4" w:space="4"/>
        </w:pBdr>
        <w:bidi/>
        <w:spacing w:before="240" w:after="80"/>
        <w:jc w:val="right"/>
      </w:pPr>
      <w:r>
        <w:rPr>
          <w:rFonts w:ascii="Arial" w:cs="Arial" w:eastAsia="Arial" w:hAnsi="Arial"/>
          <w:b/>
          <w:bCs/>
          <w:color w:val="6A17A3"/>
          <w:sz w:val="24"/>
          <w:szCs w:val="24"/>
          <w:rtl/>
        </w:rPr>
        <w:t xml:space="preserve">ניסיון תעסוקתי</w:t>
      </w:r>
    </w:p>
    <w:p>
      <w:pPr>
        <w:bidi/>
        <w:spacing w:before="120" w:after="40"/>
        <w:jc w:val="right"/>
      </w:pPr>
      <w:r>
        <w:rPr>
          <w:rFonts w:ascii="Arial" w:cs="Arial" w:eastAsia="Arial" w:hAnsi="Arial"/>
          <w:b/>
          <w:bCs/>
          <w:sz w:val="22"/>
          <w:szCs w:val="22"/>
          <w:rtl/>
        </w:rPr>
        <w:t xml:space="preserve">עורכת דין, מחלקת ליטיגציה · משרד עורכי דין מסחרי, תל אביב</w:t>
      </w:r>
      <w:r>
        <w:rPr>
          <w:rFonts w:ascii="Arial" w:cs="Arial" w:eastAsia="Arial" w:hAnsi="Arial"/>
          <w:color w:val="595959"/>
          <w:sz w:val="18"/>
          <w:szCs w:val="18"/>
          <w:rtl/>
        </w:rPr>
        <w:t xml:space="preserve">   |   2022 – היום</w:t>
      </w:r>
    </w:p>
    <w:p>
      <w:pPr>
        <w:bidi/>
        <w:spacing w:after="30"/>
        <w:jc w:val="right"/>
      </w:pPr>
      <w:r>
        <w:rPr>
          <w:rFonts w:ascii="Arial" w:cs="Arial" w:eastAsia="Arial" w:hAnsi="Arial"/>
          <w:sz w:val="21"/>
          <w:szCs w:val="21"/>
          <w:rtl/>
        </w:rPr>
        <w:t xml:space="preserve">• מנהלת תיק עצמאי של 15-20 הליכים במקביל בערכאות שונות, בשווי מצטבר של כ-80 מיליון ₪.</w:t>
      </w:r>
    </w:p>
    <w:p>
      <w:pPr>
        <w:bidi/>
        <w:spacing w:after="30"/>
        <w:jc w:val="right"/>
      </w:pPr>
      <w:r>
        <w:rPr>
          <w:rFonts w:ascii="Arial" w:cs="Arial" w:eastAsia="Arial" w:hAnsi="Arial"/>
          <w:sz w:val="21"/>
          <w:szCs w:val="21"/>
          <w:rtl/>
        </w:rPr>
        <w:t xml:space="preserve">• כתבתי כתבי טענות וסיכומים בתיקים מסחריים מורכבים; זכייה או פשרה מיטיבה ב-11 מתוך 14 הליכים שהסתיימו.</w:t>
      </w:r>
    </w:p>
    <w:p>
      <w:pPr>
        <w:bidi/>
        <w:spacing w:after="30"/>
        <w:jc w:val="right"/>
      </w:pPr>
      <w:r>
        <w:rPr>
          <w:rFonts w:ascii="Arial" w:cs="Arial" w:eastAsia="Arial" w:hAnsi="Arial"/>
          <w:sz w:val="21"/>
          <w:szCs w:val="21"/>
          <w:rtl/>
        </w:rPr>
        <w:t xml:space="preserve">• מובילה את עבודת שני מתמחים במחלקה — הנחיה, בקרה ומשוב.</w:t>
      </w:r>
    </w:p>
    <w:p>
      <w:pPr>
        <w:bidi/>
        <w:spacing w:before="120" w:after="40"/>
        <w:jc w:val="right"/>
      </w:pPr>
      <w:r>
        <w:rPr>
          <w:rFonts w:ascii="Arial" w:cs="Arial" w:eastAsia="Arial" w:hAnsi="Arial"/>
          <w:b/>
          <w:bCs/>
          <w:sz w:val="22"/>
          <w:szCs w:val="22"/>
          <w:rtl/>
        </w:rPr>
        <w:t xml:space="preserve">מתמחה, מחלקת ליטיגציה · אותו משרד</w:t>
      </w:r>
      <w:r>
        <w:rPr>
          <w:rFonts w:ascii="Arial" w:cs="Arial" w:eastAsia="Arial" w:hAnsi="Arial"/>
          <w:color w:val="595959"/>
          <w:sz w:val="18"/>
          <w:szCs w:val="18"/>
          <w:rtl/>
        </w:rPr>
        <w:t xml:space="preserve">   |   2021 – 2022</w:t>
      </w:r>
    </w:p>
    <w:p>
      <w:pPr>
        <w:bidi/>
        <w:spacing w:after="30"/>
        <w:jc w:val="right"/>
      </w:pPr>
      <w:r>
        <w:rPr>
          <w:rFonts w:ascii="Arial" w:cs="Arial" w:eastAsia="Arial" w:hAnsi="Arial"/>
          <w:sz w:val="21"/>
          <w:szCs w:val="21"/>
          <w:rtl/>
        </w:rPr>
        <w:t xml:space="preserve">• מחקר משפטי וכתיבת טיוטות בכ-30 תיקים; ציון הצטיינות בחוות דעת ההתמחות.</w:t>
      </w:r>
    </w:p>
    <w:p>
      <w:pPr>
        <w:bidi/>
        <w:spacing w:after="30"/>
        <w:jc w:val="right"/>
      </w:pPr>
      <w:r>
        <w:rPr>
          <w:rFonts w:ascii="Arial" w:cs="Arial" w:eastAsia="Arial" w:hAnsi="Arial"/>
          <w:sz w:val="21"/>
          <w:szCs w:val="21"/>
          <w:rtl/>
        </w:rPr>
        <w:t xml:space="preserve">• ריכזתי תיק הוכחות בתובענה ייצוגית — ניהול מעל 2,000 מסמכי גילוי.</w:t>
      </w:r>
    </w:p>
    <w:p>
      <w:pPr>
        <w:pBdr>
          <w:bottom w:val="single" w:color="D9D9D9" w:sz="4" w:space="4"/>
        </w:pBdr>
        <w:bidi/>
        <w:spacing w:before="240" w:after="80"/>
        <w:jc w:val="right"/>
      </w:pPr>
      <w:r>
        <w:rPr>
          <w:rFonts w:ascii="Arial" w:cs="Arial" w:eastAsia="Arial" w:hAnsi="Arial"/>
          <w:b/>
          <w:bCs/>
          <w:color w:val="6A17A3"/>
          <w:sz w:val="24"/>
          <w:szCs w:val="24"/>
          <w:rtl/>
        </w:rPr>
        <w:t xml:space="preserve">שירות צבאי</w:t>
      </w:r>
    </w:p>
    <w:p>
      <w:pPr>
        <w:bidi/>
        <w:spacing w:after="40"/>
        <w:jc w:val="right"/>
      </w:pPr>
      <w:r>
        <w:rPr>
          <w:rFonts w:ascii="Arial" w:cs="Arial" w:eastAsia="Arial" w:hAnsi="Arial"/>
          <w:b/>
          <w:bCs/>
          <w:sz w:val="22"/>
          <w:szCs w:val="22"/>
          <w:rtl/>
        </w:rPr>
        <w:t xml:space="preserve">עוזרת משפטית, הפרקליטות הצבאית · צה"ל</w:t>
      </w:r>
      <w:r>
        <w:rPr>
          <w:rFonts w:ascii="Arial" w:cs="Arial" w:eastAsia="Arial" w:hAnsi="Arial"/>
          <w:color w:val="595959"/>
          <w:sz w:val="18"/>
          <w:szCs w:val="18"/>
          <w:rtl/>
        </w:rPr>
        <w:t xml:space="preserve">   |   2015 – 2017</w:t>
      </w:r>
    </w:p>
    <w:p>
      <w:pPr>
        <w:bidi/>
        <w:spacing w:after="30"/>
        <w:jc w:val="right"/>
      </w:pPr>
      <w:r>
        <w:rPr>
          <w:rFonts w:ascii="Arial" w:cs="Arial" w:eastAsia="Arial" w:hAnsi="Arial"/>
          <w:sz w:val="21"/>
          <w:szCs w:val="21"/>
          <w:rtl/>
        </w:rPr>
        <w:t xml:space="preserve">סיוע בהכנת תיקים לדיון, תיאום עדים וניהול מסמכים בעשרות תיקים.</w:t>
      </w:r>
    </w:p>
    <w:p>
      <w:pPr>
        <w:pBdr>
          <w:bottom w:val="single" w:color="D9D9D9" w:sz="4" w:space="4"/>
        </w:pBdr>
        <w:bidi/>
        <w:spacing w:before="240" w:after="80"/>
        <w:jc w:val="right"/>
      </w:pPr>
      <w:r>
        <w:rPr>
          <w:rFonts w:ascii="Arial" w:cs="Arial" w:eastAsia="Arial" w:hAnsi="Arial"/>
          <w:b/>
          <w:bCs/>
          <w:color w:val="6A17A3"/>
          <w:sz w:val="24"/>
          <w:szCs w:val="24"/>
          <w:rtl/>
        </w:rPr>
        <w:t xml:space="preserve">השכלה</w:t>
      </w:r>
    </w:p>
    <w:p>
      <w:pPr>
        <w:bidi/>
        <w:spacing w:after="30"/>
        <w:jc w:val="right"/>
      </w:pPr>
      <w:r>
        <w:rPr>
          <w:rFonts w:ascii="Arial" w:cs="Arial" w:eastAsia="Arial" w:hAnsi="Arial"/>
          <w:b/>
          <w:bCs/>
          <w:sz w:val="21"/>
          <w:szCs w:val="21"/>
          <w:rtl/>
        </w:rPr>
        <w:t xml:space="preserve">LL.B במשפטים, בהצטיינות (ממוצע 88) · אוניברסיטת תל אביב</w:t>
      </w:r>
      <w:r>
        <w:rPr>
          <w:rFonts w:ascii="Arial" w:cs="Arial" w:eastAsia="Arial" w:hAnsi="Arial"/>
          <w:color w:val="595959"/>
          <w:sz w:val="18"/>
          <w:szCs w:val="18"/>
          <w:rtl/>
        </w:rPr>
        <w:t xml:space="preserve">   |   2021</w:t>
      </w:r>
    </w:p>
    <w:p>
      <w:pPr>
        <w:bidi/>
        <w:spacing w:after="30"/>
        <w:jc w:val="right"/>
      </w:pPr>
      <w:r>
        <w:rPr>
          <w:rFonts w:ascii="Arial" w:cs="Arial" w:eastAsia="Arial" w:hAnsi="Arial"/>
          <w:b/>
          <w:bCs/>
          <w:sz w:val="21"/>
          <w:szCs w:val="21"/>
          <w:rtl/>
        </w:rPr>
        <w:t xml:space="preserve">חברות בלשכת עורכי הדין</w:t>
      </w:r>
      <w:r>
        <w:rPr>
          <w:rFonts w:ascii="Arial" w:cs="Arial" w:eastAsia="Arial" w:hAnsi="Arial"/>
          <w:color w:val="595959"/>
          <w:sz w:val="18"/>
          <w:szCs w:val="18"/>
          <w:rtl/>
        </w:rPr>
        <w:t xml:space="preserve">   |   2022</w:t>
      </w:r>
    </w:p>
    <w:p>
      <w:pPr>
        <w:pBdr>
          <w:bottom w:val="single" w:color="D9D9D9" w:sz="4" w:space="4"/>
        </w:pBdr>
        <w:bidi/>
        <w:spacing w:before="240" w:after="80"/>
        <w:jc w:val="right"/>
      </w:pPr>
      <w:r>
        <w:rPr>
          <w:rFonts w:ascii="Arial" w:cs="Arial" w:eastAsia="Arial" w:hAnsi="Arial"/>
          <w:b/>
          <w:bCs/>
          <w:color w:val="6A17A3"/>
          <w:sz w:val="24"/>
          <w:szCs w:val="24"/>
          <w:rtl/>
        </w:rPr>
        <w:t xml:space="preserve">כישורים וכלים</w:t>
      </w:r>
    </w:p>
    <w:p>
      <w:pPr>
        <w:bidi/>
        <w:spacing w:after="30"/>
        <w:jc w:val="right"/>
      </w:pPr>
      <w:r>
        <w:rPr>
          <w:rFonts w:ascii="Arial" w:cs="Arial" w:eastAsia="Arial" w:hAnsi="Arial"/>
          <w:sz w:val="21"/>
          <w:szCs w:val="21"/>
          <w:rtl/>
        </w:rPr>
        <w:t xml:space="preserve">ליטיגציה אזרחית-מסחרית · כתיבה משפטית · נבו / תקדין · ניהול תיק עצמאי · אנגלית משפטית</w:t>
      </w:r>
    </w:p>
    <w:p>
      <w:pPr>
        <w:pBdr>
          <w:bottom w:val="single" w:color="D9D9D9" w:sz="4" w:space="4"/>
        </w:pBdr>
        <w:bidi/>
        <w:spacing w:before="240" w:after="80"/>
        <w:jc w:val="right"/>
      </w:pPr>
      <w:r>
        <w:rPr>
          <w:rFonts w:ascii="Arial" w:cs="Arial" w:eastAsia="Arial" w:hAnsi="Arial"/>
          <w:b/>
          <w:bCs/>
          <w:color w:val="6A17A3"/>
          <w:sz w:val="24"/>
          <w:szCs w:val="24"/>
          <w:rtl/>
        </w:rPr>
        <w:t xml:space="preserve">שפות</w:t>
      </w:r>
    </w:p>
    <w:p>
      <w:pPr>
        <w:bidi/>
        <w:jc w:val="right"/>
      </w:pPr>
      <w:r>
        <w:rPr>
          <w:rFonts w:ascii="Arial" w:cs="Arial" w:eastAsia="Arial" w:hAnsi="Arial"/>
          <w:sz w:val="21"/>
          <w:szCs w:val="21"/>
          <w:rtl/>
        </w:rPr>
        <w:t xml:space="preserve">עברית — שפת אם · אנגלית — רמה גבוהה (כולל ניסוח חוזים)</w:t>
      </w:r>
    </w:p>
    <w:sectPr>
      <w:pgSz w:w="11906" w:h="16838" w:orient="portrait"/>
      <w:pgMar w:top="850" w:right="1000" w:bottom="850" w:left="10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Custro</dc:creator>
  <dc:description>קורות חיים לדוגמא — custro.com</dc:description>
  <cp:lastModifiedBy>Un-named</cp:lastModifiedBy>
  <cp:revision>1</cp:revision>
  <dcterms:created xsi:type="dcterms:W3CDTF">2026-08-19T14:44:03.481Z</dcterms:created>
  <dcterms:modified xsi:type="dcterms:W3CDTF">2026-08-19T14:44:03.481Z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